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E83" w:rsidRDefault="00733E83" w:rsidP="00733E83">
      <w:pPr>
        <w:rPr>
          <w:rFonts w:ascii="Arial" w:eastAsia="Times New Roman" w:hAnsi="Arial" w:cs="Arial"/>
          <w:b/>
          <w:bCs/>
          <w:color w:val="000000"/>
          <w:sz w:val="30"/>
          <w:szCs w:val="30"/>
        </w:rPr>
      </w:pPr>
    </w:p>
    <w:p w:rsidR="00047F03" w:rsidRPr="00047F03" w:rsidRDefault="00047F03" w:rsidP="00047F03">
      <w:pPr>
        <w:rPr>
          <w:rFonts w:ascii="Arial" w:eastAsia="Times New Roman" w:hAnsi="Arial" w:cs="Arial"/>
          <w:color w:val="000000"/>
          <w:sz w:val="32"/>
          <w:szCs w:val="32"/>
        </w:rPr>
      </w:pPr>
      <w:r w:rsidRPr="00047F03">
        <w:rPr>
          <w:rFonts w:ascii="Arial" w:eastAsia="Times New Roman" w:hAnsi="Arial" w:cs="Arial"/>
          <w:b/>
          <w:bCs/>
          <w:color w:val="000000"/>
          <w:sz w:val="32"/>
          <w:szCs w:val="32"/>
        </w:rPr>
        <w:t>Policy for Prescribing of Benzodiazepines and “Z” Drugs</w:t>
      </w:r>
      <w:r>
        <w:rPr>
          <w:rFonts w:ascii="Arial" w:eastAsia="Times New Roman" w:hAnsi="Arial" w:cs="Arial"/>
          <w:b/>
          <w:bCs/>
          <w:color w:val="000000"/>
          <w:sz w:val="32"/>
          <w:szCs w:val="32"/>
        </w:rPr>
        <w:t xml:space="preserve"> –</w:t>
      </w:r>
      <w:r w:rsidRPr="00047F03">
        <w:rPr>
          <w:rFonts w:ascii="Arial" w:eastAsia="Times New Roman" w:hAnsi="Arial" w:cs="Arial"/>
          <w:b/>
          <w:bCs/>
          <w:color w:val="000000"/>
          <w:sz w:val="32"/>
          <w:szCs w:val="32"/>
        </w:rPr>
        <w:t xml:space="preserve"> Initiation and Reduction</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b/>
          <w:bCs/>
          <w:color w:val="000000"/>
        </w:rPr>
      </w:pPr>
    </w:p>
    <w:p w:rsidR="00047F03" w:rsidRDefault="00047F03" w:rsidP="00047F03">
      <w:pPr>
        <w:rPr>
          <w:rFonts w:ascii="Arial" w:eastAsia="Times New Roman" w:hAnsi="Arial" w:cs="Arial"/>
          <w:b/>
          <w:bCs/>
          <w:color w:val="000000"/>
        </w:rPr>
      </w:pPr>
      <w:r>
        <w:rPr>
          <w:rFonts w:ascii="Arial" w:eastAsia="Times New Roman" w:hAnsi="Arial" w:cs="Arial"/>
          <w:b/>
          <w:bCs/>
          <w:color w:val="000000"/>
        </w:rPr>
        <w:t>Purpose</w:t>
      </w:r>
    </w:p>
    <w:p w:rsidR="00047F03" w:rsidRPr="00047F03" w:rsidRDefault="00047F03" w:rsidP="00047F03">
      <w:pPr>
        <w:rPr>
          <w:rFonts w:ascii="Arial" w:eastAsia="Times New Roman" w:hAnsi="Arial" w:cs="Arial"/>
          <w:color w:val="000000"/>
          <w:sz w:val="16"/>
          <w:szCs w:val="16"/>
        </w:rPr>
      </w:pPr>
    </w:p>
    <w:p w:rsidR="00047F03" w:rsidRDefault="00047F03" w:rsidP="00047F03">
      <w:pPr>
        <w:rPr>
          <w:rFonts w:ascii="Arial" w:eastAsia="Times New Roman" w:hAnsi="Arial" w:cs="Arial"/>
          <w:color w:val="000000"/>
        </w:rPr>
      </w:pPr>
      <w:r>
        <w:rPr>
          <w:rFonts w:ascii="Arial" w:eastAsia="Times New Roman" w:hAnsi="Arial" w:cs="Arial"/>
          <w:color w:val="000000"/>
        </w:rPr>
        <w:t>To ensure the appropriate prescribing and review of benzodiazepines and “Z” drugs (zopiclone, zolpidem and zapelon) in line with national and local guidelines.</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b/>
          <w:bCs/>
          <w:color w:val="000000"/>
        </w:rPr>
      </w:pPr>
      <w:r>
        <w:rPr>
          <w:rFonts w:ascii="Arial" w:eastAsia="Times New Roman" w:hAnsi="Arial" w:cs="Arial"/>
          <w:b/>
          <w:bCs/>
          <w:color w:val="000000"/>
        </w:rPr>
        <w:t>Scope</w:t>
      </w:r>
    </w:p>
    <w:p w:rsidR="00047F03" w:rsidRPr="00047F03" w:rsidRDefault="00047F03" w:rsidP="00047F03">
      <w:pPr>
        <w:rPr>
          <w:rFonts w:ascii="Arial" w:eastAsia="Times New Roman" w:hAnsi="Arial" w:cs="Arial"/>
          <w:color w:val="000000"/>
          <w:sz w:val="16"/>
          <w:szCs w:val="16"/>
        </w:rPr>
      </w:pPr>
    </w:p>
    <w:p w:rsidR="00047F03" w:rsidRDefault="00047F03" w:rsidP="00047F03">
      <w:pPr>
        <w:rPr>
          <w:rFonts w:ascii="Arial" w:eastAsia="Times New Roman" w:hAnsi="Arial" w:cs="Arial"/>
          <w:color w:val="000000"/>
        </w:rPr>
      </w:pPr>
      <w:r>
        <w:rPr>
          <w:rFonts w:ascii="Arial" w:eastAsia="Times New Roman" w:hAnsi="Arial" w:cs="Arial"/>
          <w:color w:val="000000"/>
        </w:rPr>
        <w:t>All patients taking a benzodiazepine or “Z” drug.</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b/>
          <w:bCs/>
          <w:color w:val="000000"/>
        </w:rPr>
      </w:pPr>
      <w:r>
        <w:rPr>
          <w:rFonts w:ascii="Arial" w:eastAsia="Times New Roman" w:hAnsi="Arial" w:cs="Arial"/>
          <w:b/>
          <w:bCs/>
          <w:color w:val="000000"/>
        </w:rPr>
        <w:t>Procedure – Initiation</w:t>
      </w:r>
    </w:p>
    <w:p w:rsidR="00047F03" w:rsidRPr="00047F03" w:rsidRDefault="00047F03" w:rsidP="00047F03">
      <w:pPr>
        <w:rPr>
          <w:rFonts w:ascii="Arial" w:eastAsia="Times New Roman" w:hAnsi="Arial" w:cs="Arial"/>
          <w:color w:val="000000"/>
          <w:sz w:val="16"/>
          <w:szCs w:val="16"/>
        </w:rPr>
      </w:pPr>
    </w:p>
    <w:p w:rsidR="00047F03" w:rsidRDefault="00047F03" w:rsidP="00047F03">
      <w:pPr>
        <w:rPr>
          <w:rFonts w:ascii="Arial" w:eastAsia="Times New Roman" w:hAnsi="Arial" w:cs="Arial"/>
          <w:color w:val="000000"/>
        </w:rPr>
      </w:pPr>
      <w:r>
        <w:rPr>
          <w:rFonts w:ascii="Arial" w:eastAsia="Times New Roman" w:hAnsi="Arial" w:cs="Arial"/>
          <w:color w:val="000000"/>
        </w:rPr>
        <w:t>Clinicians in this Practice will prescribe hypnotics and anxiolytics (benzodiazepines and “Z” drugs) in line with national and locally developed guidelines:</w:t>
      </w:r>
    </w:p>
    <w:p w:rsidR="00047F03" w:rsidRPr="00047F03" w:rsidRDefault="00047F03" w:rsidP="00047F03">
      <w:pPr>
        <w:pStyle w:val="ListParagraph"/>
        <w:numPr>
          <w:ilvl w:val="0"/>
          <w:numId w:val="7"/>
        </w:numPr>
        <w:rPr>
          <w:rFonts w:ascii="Arial" w:eastAsia="Times New Roman" w:hAnsi="Arial" w:cs="Arial"/>
          <w:color w:val="000000"/>
        </w:rPr>
      </w:pPr>
      <w:r w:rsidRPr="00047F03">
        <w:rPr>
          <w:rFonts w:ascii="Arial" w:eastAsia="Times New Roman" w:hAnsi="Arial" w:cs="Arial"/>
          <w:color w:val="000000"/>
        </w:rPr>
        <w:t>Conduct a comprehensive assessment of the patient's condition and medical history before in</w:t>
      </w:r>
      <w:r>
        <w:rPr>
          <w:rFonts w:ascii="Arial" w:eastAsia="Times New Roman" w:hAnsi="Arial" w:cs="Arial"/>
          <w:color w:val="000000"/>
        </w:rPr>
        <w:t>itiating benzodiazepine therapy</w:t>
      </w:r>
    </w:p>
    <w:p w:rsidR="00047F03" w:rsidRPr="00047F03" w:rsidRDefault="00047F03" w:rsidP="00047F03">
      <w:pPr>
        <w:pStyle w:val="ListParagraph"/>
        <w:numPr>
          <w:ilvl w:val="0"/>
          <w:numId w:val="7"/>
        </w:numPr>
        <w:rPr>
          <w:rFonts w:ascii="Arial" w:eastAsia="Times New Roman" w:hAnsi="Arial" w:cs="Arial"/>
          <w:color w:val="000000"/>
        </w:rPr>
      </w:pPr>
      <w:r w:rsidRPr="00047F03">
        <w:rPr>
          <w:rFonts w:ascii="Arial" w:eastAsia="Times New Roman" w:hAnsi="Arial" w:cs="Arial"/>
          <w:color w:val="000000"/>
        </w:rPr>
        <w:t>Consider non-pharmacological treatments and alternative</w:t>
      </w:r>
      <w:r>
        <w:rPr>
          <w:rFonts w:ascii="Arial" w:eastAsia="Times New Roman" w:hAnsi="Arial" w:cs="Arial"/>
          <w:color w:val="000000"/>
        </w:rPr>
        <w:t xml:space="preserve"> medications where appropriate</w:t>
      </w:r>
    </w:p>
    <w:p w:rsidR="00047F03" w:rsidRPr="00047F03" w:rsidRDefault="00047F03" w:rsidP="00047F03">
      <w:pPr>
        <w:pStyle w:val="ListParagraph"/>
        <w:numPr>
          <w:ilvl w:val="0"/>
          <w:numId w:val="7"/>
        </w:numPr>
        <w:rPr>
          <w:rFonts w:ascii="Arial" w:eastAsia="Times New Roman" w:hAnsi="Arial" w:cs="Arial"/>
          <w:color w:val="000000"/>
        </w:rPr>
      </w:pPr>
      <w:r w:rsidRPr="00047F03">
        <w:rPr>
          <w:rFonts w:ascii="Arial" w:eastAsia="Times New Roman" w:hAnsi="Arial" w:cs="Arial"/>
          <w:color w:val="000000"/>
        </w:rPr>
        <w:t>Where benzodiazepine or “Z” drug treatment is indicated, first line options should be:</w:t>
      </w:r>
    </w:p>
    <w:p w:rsidR="00047F03" w:rsidRPr="00047F03" w:rsidRDefault="00047F03" w:rsidP="00047F03">
      <w:pPr>
        <w:pStyle w:val="ListParagraph"/>
        <w:numPr>
          <w:ilvl w:val="0"/>
          <w:numId w:val="8"/>
        </w:numPr>
        <w:ind w:left="1418" w:hanging="284"/>
        <w:rPr>
          <w:rFonts w:ascii="Arial" w:eastAsia="Times New Roman" w:hAnsi="Arial" w:cs="Arial"/>
          <w:color w:val="000000"/>
        </w:rPr>
      </w:pPr>
      <w:r w:rsidRPr="00047F03">
        <w:rPr>
          <w:rFonts w:ascii="Arial" w:eastAsia="Times New Roman" w:hAnsi="Arial" w:cs="Arial"/>
          <w:color w:val="000000"/>
        </w:rPr>
        <w:t>anxiolytic: diazepam 2mg</w:t>
      </w:r>
    </w:p>
    <w:p w:rsidR="00047F03" w:rsidRPr="00047F03" w:rsidRDefault="00047F03" w:rsidP="00047F03">
      <w:pPr>
        <w:pStyle w:val="ListParagraph"/>
        <w:numPr>
          <w:ilvl w:val="0"/>
          <w:numId w:val="8"/>
        </w:numPr>
        <w:ind w:left="1418" w:hanging="284"/>
        <w:rPr>
          <w:rFonts w:ascii="Arial" w:eastAsia="Times New Roman" w:hAnsi="Arial" w:cs="Arial"/>
          <w:color w:val="000000"/>
        </w:rPr>
      </w:pPr>
      <w:r w:rsidRPr="00047F03">
        <w:rPr>
          <w:rFonts w:ascii="Arial" w:eastAsia="Times New Roman" w:hAnsi="Arial" w:cs="Arial"/>
          <w:color w:val="000000"/>
        </w:rPr>
        <w:t>hypnotic: zopiclone 3.75mg</w:t>
      </w:r>
    </w:p>
    <w:p w:rsidR="00047F03" w:rsidRPr="00047F03" w:rsidRDefault="00047F03" w:rsidP="00047F03">
      <w:pPr>
        <w:pStyle w:val="ListParagraph"/>
        <w:numPr>
          <w:ilvl w:val="0"/>
          <w:numId w:val="7"/>
        </w:numPr>
        <w:rPr>
          <w:rFonts w:ascii="Arial" w:eastAsia="Times New Roman" w:hAnsi="Arial" w:cs="Arial"/>
          <w:color w:val="000000"/>
        </w:rPr>
      </w:pPr>
      <w:r w:rsidRPr="00047F03">
        <w:rPr>
          <w:rFonts w:ascii="Arial" w:eastAsia="Times New Roman" w:hAnsi="Arial" w:cs="Arial"/>
          <w:color w:val="000000"/>
        </w:rPr>
        <w:t>For patients who have not received these drugs regularly, Clinicians will only prescribe hypnotics and anxiolytics for a maximum of seven days and at the lowest effective dose. They will only be prescribed if the Clinician feels that the condition is severe, disabling and subjecting the patient to extreme distress and/or for those where other interventions have not been successful. The following guidance published by NICE will apply:</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the indication for starting a hypnotic or anxiolytic will be documented;</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all patients will receive advice on non-drug therapies for anxiety and insomnia - can use Accurx resources where appropriate;</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 xml:space="preserve">patients will be advised on the potential risks and benefits of benzodiazepine therapy, including potential side </w:t>
      </w:r>
      <w:r>
        <w:rPr>
          <w:rFonts w:ascii="Arial" w:eastAsia="Times New Roman" w:hAnsi="Arial" w:cs="Arial"/>
          <w:color w:val="000000"/>
        </w:rPr>
        <w:t>effects and signs of dependence;</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 xml:space="preserve">provide guidance on safe use, storage, </w:t>
      </w:r>
      <w:r>
        <w:rPr>
          <w:rFonts w:ascii="Arial" w:eastAsia="Times New Roman" w:hAnsi="Arial" w:cs="Arial"/>
          <w:color w:val="000000"/>
        </w:rPr>
        <w:t>and disposal of benzodiazepines;</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a repeat prescription will not be issued;</w:t>
      </w:r>
    </w:p>
    <w:p w:rsidR="00047F03" w:rsidRPr="00047F03" w:rsidRDefault="00047F03" w:rsidP="00047F03">
      <w:pPr>
        <w:pStyle w:val="ListParagraph"/>
        <w:numPr>
          <w:ilvl w:val="1"/>
          <w:numId w:val="9"/>
        </w:numPr>
        <w:rPr>
          <w:rFonts w:ascii="Arial" w:eastAsia="Times New Roman" w:hAnsi="Arial" w:cs="Arial"/>
          <w:color w:val="000000"/>
        </w:rPr>
      </w:pPr>
      <w:r w:rsidRPr="00047F03">
        <w:rPr>
          <w:rFonts w:ascii="Arial" w:eastAsia="Times New Roman" w:hAnsi="Arial" w:cs="Arial"/>
          <w:color w:val="000000"/>
        </w:rPr>
        <w:t>benzodiazepines or “Z” drugs should not be taken for more than 2-4 weeks (including tapering off).</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color w:val="000000"/>
        </w:rPr>
      </w:pPr>
      <w:r>
        <w:rPr>
          <w:rFonts w:ascii="Arial" w:eastAsia="Times New Roman" w:hAnsi="Arial" w:cs="Arial"/>
          <w:b/>
          <w:bCs/>
          <w:color w:val="000000"/>
        </w:rPr>
        <w:t>Procedure - Reduction</w:t>
      </w:r>
    </w:p>
    <w:p w:rsidR="00047F03" w:rsidRPr="00047F03" w:rsidRDefault="00047F03" w:rsidP="00047F03">
      <w:pPr>
        <w:rPr>
          <w:rFonts w:ascii="Arial" w:eastAsia="Times New Roman" w:hAnsi="Arial" w:cs="Arial"/>
          <w:color w:val="000000"/>
          <w:sz w:val="16"/>
          <w:szCs w:val="16"/>
        </w:rPr>
      </w:pPr>
    </w:p>
    <w:p w:rsidR="00047F03" w:rsidRPr="00047F03" w:rsidRDefault="00047F03" w:rsidP="00047F03">
      <w:pPr>
        <w:pStyle w:val="ListParagraph"/>
        <w:numPr>
          <w:ilvl w:val="0"/>
          <w:numId w:val="11"/>
        </w:numPr>
        <w:rPr>
          <w:rFonts w:ascii="Arial" w:eastAsia="Times New Roman" w:hAnsi="Arial" w:cs="Arial"/>
          <w:color w:val="000000"/>
        </w:rPr>
      </w:pPr>
      <w:r w:rsidRPr="00047F03">
        <w:rPr>
          <w:rFonts w:ascii="Arial" w:eastAsia="Times New Roman" w:hAnsi="Arial" w:cs="Arial"/>
          <w:color w:val="000000"/>
        </w:rPr>
        <w:t>Patients who are already on a regular benzodiazepine or “Z” drug prescription will be assessed and, if appropriate, counselled for a withdrawal scheme with the aim to gradu</w:t>
      </w:r>
      <w:r>
        <w:rPr>
          <w:rFonts w:ascii="Arial" w:eastAsia="Times New Roman" w:hAnsi="Arial" w:cs="Arial"/>
          <w:color w:val="000000"/>
        </w:rPr>
        <w:t>ally reduce drug dosage to zero</w:t>
      </w:r>
    </w:p>
    <w:p w:rsidR="00047F03" w:rsidRPr="00047F03" w:rsidRDefault="00047F03" w:rsidP="00047F03">
      <w:pPr>
        <w:pStyle w:val="ListParagraph"/>
        <w:numPr>
          <w:ilvl w:val="0"/>
          <w:numId w:val="11"/>
        </w:numPr>
        <w:rPr>
          <w:rFonts w:ascii="Arial" w:eastAsia="Times New Roman" w:hAnsi="Arial" w:cs="Arial"/>
          <w:color w:val="000000"/>
        </w:rPr>
      </w:pPr>
      <w:r w:rsidRPr="00047F03">
        <w:rPr>
          <w:rFonts w:ascii="Arial" w:eastAsia="Times New Roman" w:hAnsi="Arial" w:cs="Arial"/>
          <w:color w:val="000000"/>
        </w:rPr>
        <w:t xml:space="preserve">Patients who are unable or unwilling to reduce drug dosage via a managed withdrawal scheme (or who use more than one drug of abuse, or who are </w:t>
      </w:r>
      <w:r w:rsidRPr="00047F03">
        <w:rPr>
          <w:rFonts w:ascii="Arial" w:eastAsia="Times New Roman" w:hAnsi="Arial" w:cs="Arial"/>
          <w:color w:val="000000"/>
        </w:rPr>
        <w:lastRenderedPageBreak/>
        <w:t>dependent on alcohol) will be referred to the substan</w:t>
      </w:r>
      <w:r>
        <w:rPr>
          <w:rFonts w:ascii="Arial" w:eastAsia="Times New Roman" w:hAnsi="Arial" w:cs="Arial"/>
          <w:color w:val="000000"/>
        </w:rPr>
        <w:t>ce misuse service in their area</w:t>
      </w:r>
    </w:p>
    <w:p w:rsidR="00047F03" w:rsidRPr="00047F03" w:rsidRDefault="00047F03" w:rsidP="00047F03">
      <w:pPr>
        <w:pStyle w:val="ListParagraph"/>
        <w:numPr>
          <w:ilvl w:val="0"/>
          <w:numId w:val="11"/>
        </w:numPr>
        <w:rPr>
          <w:rFonts w:ascii="Arial" w:eastAsia="Times New Roman" w:hAnsi="Arial" w:cs="Arial"/>
          <w:color w:val="000000"/>
        </w:rPr>
      </w:pPr>
      <w:r w:rsidRPr="00047F03">
        <w:rPr>
          <w:rFonts w:ascii="Arial" w:eastAsia="Times New Roman" w:hAnsi="Arial" w:cs="Arial"/>
          <w:color w:val="000000"/>
        </w:rPr>
        <w:t>Prescriptions for hypnotics and anxiolytics should not be routinely available on repeat. However the practice accepts that there may be a small minority of people who need to be on a small maintenance dose of a benzodiazepine, such as:</w:t>
      </w:r>
    </w:p>
    <w:p w:rsidR="00047F03" w:rsidRPr="00047F03" w:rsidRDefault="00047F03" w:rsidP="00047F03">
      <w:pPr>
        <w:pStyle w:val="ListParagraph"/>
        <w:numPr>
          <w:ilvl w:val="1"/>
          <w:numId w:val="13"/>
        </w:numPr>
        <w:rPr>
          <w:rFonts w:ascii="Arial" w:eastAsia="Times New Roman" w:hAnsi="Arial" w:cs="Arial"/>
          <w:color w:val="000000"/>
        </w:rPr>
      </w:pPr>
      <w:r w:rsidRPr="00047F03">
        <w:rPr>
          <w:rFonts w:ascii="Arial" w:eastAsia="Times New Roman" w:hAnsi="Arial" w:cs="Arial"/>
          <w:color w:val="000000"/>
        </w:rPr>
        <w:t>those with severe mental health problems under care of a psychiatrist;</w:t>
      </w:r>
    </w:p>
    <w:p w:rsidR="00047F03" w:rsidRPr="00047F03" w:rsidRDefault="00047F03" w:rsidP="00047F03">
      <w:pPr>
        <w:pStyle w:val="ListParagraph"/>
        <w:numPr>
          <w:ilvl w:val="1"/>
          <w:numId w:val="13"/>
        </w:numPr>
        <w:rPr>
          <w:rFonts w:ascii="Arial" w:eastAsia="Times New Roman" w:hAnsi="Arial" w:cs="Arial"/>
          <w:color w:val="000000"/>
        </w:rPr>
      </w:pPr>
      <w:r w:rsidRPr="00047F03">
        <w:rPr>
          <w:rFonts w:ascii="Arial" w:eastAsia="Times New Roman" w:hAnsi="Arial" w:cs="Arial"/>
          <w:color w:val="000000"/>
        </w:rPr>
        <w:t>those taking these drugs for treatment of epilepsy;</w:t>
      </w:r>
    </w:p>
    <w:p w:rsidR="00047F03" w:rsidRPr="00047F03" w:rsidRDefault="00047F03" w:rsidP="00047F03">
      <w:pPr>
        <w:pStyle w:val="ListParagraph"/>
        <w:numPr>
          <w:ilvl w:val="1"/>
          <w:numId w:val="13"/>
        </w:numPr>
        <w:rPr>
          <w:rFonts w:ascii="Arial" w:eastAsia="Times New Roman" w:hAnsi="Arial" w:cs="Arial"/>
          <w:color w:val="000000"/>
        </w:rPr>
      </w:pPr>
      <w:r w:rsidRPr="00047F03">
        <w:rPr>
          <w:rFonts w:ascii="Arial" w:eastAsia="Times New Roman" w:hAnsi="Arial" w:cs="Arial"/>
          <w:color w:val="000000"/>
        </w:rPr>
        <w:t>those taking these drugs on the advice of a neurological/musculoskeletal consultant;</w:t>
      </w:r>
    </w:p>
    <w:p w:rsidR="00047F03" w:rsidRPr="00047F03" w:rsidRDefault="00047F03" w:rsidP="00047F03">
      <w:pPr>
        <w:pStyle w:val="ListParagraph"/>
        <w:numPr>
          <w:ilvl w:val="1"/>
          <w:numId w:val="13"/>
        </w:numPr>
        <w:rPr>
          <w:rFonts w:ascii="Arial" w:eastAsia="Times New Roman" w:hAnsi="Arial" w:cs="Arial"/>
          <w:color w:val="000000"/>
        </w:rPr>
      </w:pPr>
      <w:r w:rsidRPr="00047F03">
        <w:rPr>
          <w:rFonts w:ascii="Arial" w:eastAsia="Times New Roman" w:hAnsi="Arial" w:cs="Arial"/>
          <w:color w:val="000000"/>
        </w:rPr>
        <w:t>those who are seriously or terminally ill.</w:t>
      </w:r>
    </w:p>
    <w:p w:rsidR="00047F03" w:rsidRPr="00047F03" w:rsidRDefault="00047F03" w:rsidP="00047F03">
      <w:pPr>
        <w:pStyle w:val="ListParagraph"/>
        <w:numPr>
          <w:ilvl w:val="0"/>
          <w:numId w:val="14"/>
        </w:numPr>
        <w:rPr>
          <w:rFonts w:ascii="Arial" w:eastAsia="Times New Roman" w:hAnsi="Arial" w:cs="Arial"/>
          <w:color w:val="000000"/>
        </w:rPr>
      </w:pPr>
      <w:r w:rsidRPr="00047F03">
        <w:rPr>
          <w:rFonts w:ascii="Arial" w:eastAsia="Times New Roman" w:hAnsi="Arial" w:cs="Arial"/>
          <w:color w:val="000000"/>
        </w:rPr>
        <w:t>Lost pre</w:t>
      </w:r>
      <w:r>
        <w:rPr>
          <w:rFonts w:ascii="Arial" w:eastAsia="Times New Roman" w:hAnsi="Arial" w:cs="Arial"/>
          <w:color w:val="000000"/>
        </w:rPr>
        <w:t>scriptions will not be replaced</w:t>
      </w:r>
    </w:p>
    <w:p w:rsidR="00047F03" w:rsidRPr="00047F03" w:rsidRDefault="00047F03" w:rsidP="00047F03">
      <w:pPr>
        <w:pStyle w:val="ListParagraph"/>
        <w:numPr>
          <w:ilvl w:val="0"/>
          <w:numId w:val="14"/>
        </w:numPr>
        <w:rPr>
          <w:rFonts w:ascii="Arial" w:eastAsia="Times New Roman" w:hAnsi="Arial" w:cs="Arial"/>
          <w:color w:val="000000"/>
        </w:rPr>
      </w:pPr>
      <w:r w:rsidRPr="00047F03">
        <w:rPr>
          <w:rFonts w:ascii="Arial" w:eastAsia="Times New Roman" w:hAnsi="Arial" w:cs="Arial"/>
          <w:color w:val="000000"/>
        </w:rPr>
        <w:t>If a patient takes higher doses than prescribed, and runs out of medication before the next prescription is due, they will not be</w:t>
      </w:r>
      <w:r>
        <w:rPr>
          <w:rFonts w:ascii="Arial" w:eastAsia="Times New Roman" w:hAnsi="Arial" w:cs="Arial"/>
          <w:color w:val="000000"/>
        </w:rPr>
        <w:t xml:space="preserve"> prescribed additional medicine</w:t>
      </w:r>
    </w:p>
    <w:p w:rsidR="00047F03" w:rsidRPr="00047F03" w:rsidRDefault="00047F03" w:rsidP="00047F03">
      <w:pPr>
        <w:pStyle w:val="ListParagraph"/>
        <w:numPr>
          <w:ilvl w:val="0"/>
          <w:numId w:val="14"/>
        </w:numPr>
        <w:rPr>
          <w:rFonts w:ascii="Arial" w:eastAsia="Times New Roman" w:hAnsi="Arial" w:cs="Arial"/>
          <w:color w:val="000000"/>
        </w:rPr>
      </w:pPr>
      <w:r w:rsidRPr="00047F03">
        <w:rPr>
          <w:rFonts w:ascii="Arial" w:eastAsia="Times New Roman" w:hAnsi="Arial" w:cs="Arial"/>
          <w:color w:val="000000"/>
        </w:rPr>
        <w:t>Prescriptions will not b</w:t>
      </w:r>
      <w:r>
        <w:rPr>
          <w:rFonts w:ascii="Arial" w:eastAsia="Times New Roman" w:hAnsi="Arial" w:cs="Arial"/>
          <w:color w:val="000000"/>
        </w:rPr>
        <w:t>e issued earlier than it is due</w:t>
      </w:r>
    </w:p>
    <w:p w:rsidR="00047F03" w:rsidRPr="00047F03" w:rsidRDefault="00047F03" w:rsidP="00047F03">
      <w:pPr>
        <w:pStyle w:val="ListParagraph"/>
        <w:numPr>
          <w:ilvl w:val="0"/>
          <w:numId w:val="14"/>
        </w:numPr>
        <w:rPr>
          <w:rFonts w:ascii="Arial" w:eastAsia="Times New Roman" w:hAnsi="Arial" w:cs="Arial"/>
          <w:color w:val="000000"/>
        </w:rPr>
      </w:pPr>
      <w:r w:rsidRPr="00047F03">
        <w:rPr>
          <w:rFonts w:ascii="Arial" w:eastAsia="Times New Roman" w:hAnsi="Arial" w:cs="Arial"/>
          <w:color w:val="000000"/>
        </w:rPr>
        <w:t>The practice will undertake a regular review and audit of the prescribing practice of benzodiazepines and “Z” drugs to ensure compliance with national and local guidelines.</w:t>
      </w:r>
    </w:p>
    <w:p w:rsidR="00047F03" w:rsidRPr="00047F03" w:rsidRDefault="00047F03" w:rsidP="00047F03">
      <w:pPr>
        <w:pStyle w:val="ListParagraph"/>
        <w:numPr>
          <w:ilvl w:val="0"/>
          <w:numId w:val="15"/>
        </w:numPr>
        <w:rPr>
          <w:rFonts w:ascii="Arial" w:eastAsia="Times New Roman" w:hAnsi="Arial" w:cs="Arial"/>
          <w:color w:val="000000"/>
        </w:rPr>
      </w:pPr>
      <w:r w:rsidRPr="00047F03">
        <w:rPr>
          <w:rFonts w:ascii="Arial" w:eastAsia="Times New Roman" w:hAnsi="Arial" w:cs="Arial"/>
          <w:color w:val="000000"/>
        </w:rPr>
        <w:t>Temporary residents should note that:</w:t>
      </w:r>
    </w:p>
    <w:p w:rsidR="00047F03" w:rsidRPr="00047F03" w:rsidRDefault="00047F03" w:rsidP="00047F03">
      <w:pPr>
        <w:pStyle w:val="ListParagraph"/>
        <w:numPr>
          <w:ilvl w:val="1"/>
          <w:numId w:val="17"/>
        </w:numPr>
        <w:rPr>
          <w:rFonts w:ascii="Arial" w:eastAsia="Times New Roman" w:hAnsi="Arial" w:cs="Arial"/>
          <w:color w:val="000000"/>
        </w:rPr>
      </w:pPr>
      <w:r w:rsidRPr="00047F03">
        <w:rPr>
          <w:rFonts w:ascii="Arial" w:eastAsia="Times New Roman" w:hAnsi="Arial" w:cs="Arial"/>
          <w:color w:val="000000"/>
        </w:rPr>
        <w:t>patients not currently on an anxiolytic or hypnotic will be treated according to NICE guidelines and the practice policy</w:t>
      </w:r>
      <w:r>
        <w:rPr>
          <w:rFonts w:ascii="Arial" w:eastAsia="Times New Roman" w:hAnsi="Arial" w:cs="Arial"/>
          <w:color w:val="000000"/>
        </w:rPr>
        <w:t>;</w:t>
      </w:r>
    </w:p>
    <w:p w:rsidR="00047F03" w:rsidRPr="00047F03" w:rsidRDefault="00047F03" w:rsidP="00047F03">
      <w:pPr>
        <w:pStyle w:val="ListParagraph"/>
        <w:numPr>
          <w:ilvl w:val="1"/>
          <w:numId w:val="17"/>
        </w:numPr>
        <w:rPr>
          <w:rFonts w:ascii="Arial" w:eastAsia="Times New Roman" w:hAnsi="Arial" w:cs="Arial"/>
          <w:color w:val="000000"/>
        </w:rPr>
      </w:pPr>
      <w:r w:rsidRPr="00047F03">
        <w:rPr>
          <w:rFonts w:ascii="Arial" w:eastAsia="Times New Roman" w:hAnsi="Arial" w:cs="Arial"/>
          <w:color w:val="000000"/>
        </w:rPr>
        <w:t>regular users will not receive prescriptions without proof of dosage, frequency and date of last prescription; (this can be obta</w:t>
      </w:r>
      <w:r>
        <w:rPr>
          <w:rFonts w:ascii="Arial" w:eastAsia="Times New Roman" w:hAnsi="Arial" w:cs="Arial"/>
          <w:color w:val="000000"/>
        </w:rPr>
        <w:t>ined from the patient’s surgery;</w:t>
      </w:r>
    </w:p>
    <w:p w:rsidR="00047F03" w:rsidRPr="00047F03" w:rsidRDefault="00047F03" w:rsidP="00047F03">
      <w:pPr>
        <w:pStyle w:val="ListParagraph"/>
        <w:numPr>
          <w:ilvl w:val="1"/>
          <w:numId w:val="17"/>
        </w:numPr>
        <w:rPr>
          <w:rFonts w:ascii="Arial" w:eastAsia="Times New Roman" w:hAnsi="Arial" w:cs="Arial"/>
          <w:color w:val="000000"/>
        </w:rPr>
      </w:pPr>
      <w:r w:rsidRPr="00047F03">
        <w:rPr>
          <w:rFonts w:ascii="Arial" w:eastAsia="Times New Roman" w:hAnsi="Arial" w:cs="Arial"/>
          <w:color w:val="000000"/>
        </w:rPr>
        <w:t>if they remain with the practice for more than two weeks, they should enter the reducing scheme and the policy should be followed as for a registered patient.</w:t>
      </w:r>
    </w:p>
    <w:p w:rsidR="00047F03" w:rsidRPr="00047F03" w:rsidRDefault="00047F03" w:rsidP="00047F03">
      <w:pPr>
        <w:pStyle w:val="ListParagraph"/>
        <w:numPr>
          <w:ilvl w:val="0"/>
          <w:numId w:val="18"/>
        </w:numPr>
        <w:rPr>
          <w:rFonts w:ascii="Arial" w:eastAsia="Times New Roman" w:hAnsi="Arial" w:cs="Arial"/>
          <w:color w:val="000000"/>
        </w:rPr>
      </w:pPr>
      <w:r w:rsidRPr="00047F03">
        <w:rPr>
          <w:rFonts w:ascii="Arial" w:eastAsia="Times New Roman" w:hAnsi="Arial" w:cs="Arial"/>
          <w:color w:val="000000"/>
        </w:rPr>
        <w:t>Any new patients currently on hypnotics or anxiolytics will be informed that they will be placed on a withdrawal regime (unless they fall into the exclusion criteria above) when they register with the practice.</w:t>
      </w:r>
    </w:p>
    <w:p w:rsidR="00047F03" w:rsidRDefault="00047F03" w:rsidP="00047F03">
      <w:pPr>
        <w:rPr>
          <w:rFonts w:ascii="Arial" w:eastAsia="Times New Roman" w:hAnsi="Arial" w:cs="Arial"/>
          <w:color w:val="000000"/>
        </w:rPr>
      </w:pPr>
    </w:p>
    <w:p w:rsidR="00047F03" w:rsidRPr="00047F03" w:rsidRDefault="00047F03" w:rsidP="00047F03">
      <w:pPr>
        <w:rPr>
          <w:rFonts w:ascii="Arial" w:eastAsia="Times New Roman" w:hAnsi="Arial" w:cs="Arial"/>
          <w:b/>
          <w:color w:val="000000"/>
        </w:rPr>
      </w:pPr>
      <w:r w:rsidRPr="00047F03">
        <w:rPr>
          <w:rFonts w:ascii="Arial" w:eastAsia="Times New Roman" w:hAnsi="Arial" w:cs="Arial"/>
          <w:b/>
          <w:color w:val="000000"/>
        </w:rPr>
        <w:t>Holidays</w:t>
      </w:r>
    </w:p>
    <w:p w:rsidR="00047F03" w:rsidRPr="00047F03" w:rsidRDefault="00047F03" w:rsidP="00047F03">
      <w:pPr>
        <w:pStyle w:val="ListParagraph"/>
        <w:numPr>
          <w:ilvl w:val="0"/>
          <w:numId w:val="19"/>
        </w:numPr>
        <w:rPr>
          <w:rFonts w:ascii="Arial" w:eastAsia="Times New Roman" w:hAnsi="Arial" w:cs="Arial"/>
          <w:color w:val="000000"/>
        </w:rPr>
      </w:pPr>
      <w:r w:rsidRPr="00047F03">
        <w:rPr>
          <w:rFonts w:ascii="Arial" w:eastAsia="Times New Roman" w:hAnsi="Arial" w:cs="Arial"/>
          <w:color w:val="000000"/>
        </w:rPr>
        <w:t xml:space="preserve">For holidays in the UK a post-dated prescription can be written for the patient to take with them and have dispensed at </w:t>
      </w:r>
      <w:r>
        <w:rPr>
          <w:rFonts w:ascii="Arial" w:eastAsia="Times New Roman" w:hAnsi="Arial" w:cs="Arial"/>
          <w:color w:val="000000"/>
        </w:rPr>
        <w:t>a local pharmacy</w:t>
      </w:r>
    </w:p>
    <w:p w:rsidR="00047F03" w:rsidRPr="00047F03" w:rsidRDefault="00047F03" w:rsidP="00047F03">
      <w:pPr>
        <w:pStyle w:val="ListParagraph"/>
        <w:numPr>
          <w:ilvl w:val="0"/>
          <w:numId w:val="19"/>
        </w:numPr>
        <w:rPr>
          <w:rFonts w:ascii="Arial" w:eastAsia="Times New Roman" w:hAnsi="Arial" w:cs="Arial"/>
          <w:color w:val="000000"/>
        </w:rPr>
      </w:pPr>
      <w:r w:rsidRPr="00047F03">
        <w:rPr>
          <w:rFonts w:ascii="Arial" w:eastAsia="Times New Roman" w:hAnsi="Arial" w:cs="Arial"/>
          <w:color w:val="000000"/>
        </w:rPr>
        <w:t>Prescriptions for holidays abroad will be considered after a copy of the flight booking is provided. No more than 28 days</w:t>
      </w:r>
      <w:r>
        <w:rPr>
          <w:rFonts w:ascii="Arial" w:eastAsia="Times New Roman" w:hAnsi="Arial" w:cs="Arial"/>
          <w:color w:val="000000"/>
        </w:rPr>
        <w:t>’</w:t>
      </w:r>
      <w:r w:rsidRPr="00047F03">
        <w:rPr>
          <w:rFonts w:ascii="Arial" w:eastAsia="Times New Roman" w:hAnsi="Arial" w:cs="Arial"/>
          <w:color w:val="000000"/>
        </w:rPr>
        <w:t xml:space="preserve"> supply will be given.</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color w:val="000000"/>
        </w:rPr>
      </w:pPr>
      <w:r>
        <w:rPr>
          <w:rFonts w:ascii="Arial" w:eastAsia="Times New Roman" w:hAnsi="Arial" w:cs="Arial"/>
          <w:b/>
          <w:bCs/>
          <w:color w:val="000000"/>
        </w:rPr>
        <w:t>Responsibility</w:t>
      </w:r>
    </w:p>
    <w:p w:rsidR="00047F03" w:rsidRPr="00047F03" w:rsidRDefault="00047F03" w:rsidP="00047F03">
      <w:pPr>
        <w:rPr>
          <w:rFonts w:ascii="Arial" w:eastAsia="Times New Roman" w:hAnsi="Arial" w:cs="Arial"/>
          <w:color w:val="000000"/>
          <w:sz w:val="16"/>
          <w:szCs w:val="16"/>
        </w:rPr>
      </w:pPr>
    </w:p>
    <w:p w:rsidR="00047F03" w:rsidRDefault="00047F03" w:rsidP="00047F03">
      <w:pPr>
        <w:rPr>
          <w:rFonts w:ascii="Arial" w:eastAsia="Times New Roman" w:hAnsi="Arial" w:cs="Arial"/>
          <w:color w:val="000000"/>
        </w:rPr>
      </w:pPr>
      <w:r>
        <w:rPr>
          <w:rFonts w:ascii="Arial" w:eastAsia="Times New Roman" w:hAnsi="Arial" w:cs="Arial"/>
          <w:color w:val="000000"/>
        </w:rPr>
        <w:t>All members of staff involved with prescriptions.</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color w:val="000000"/>
        </w:rPr>
      </w:pPr>
      <w:r>
        <w:rPr>
          <w:rFonts w:ascii="Arial" w:eastAsia="Times New Roman" w:hAnsi="Arial" w:cs="Arial"/>
          <w:b/>
          <w:bCs/>
          <w:color w:val="000000"/>
        </w:rPr>
        <w:t>Audit</w:t>
      </w:r>
    </w:p>
    <w:p w:rsidR="00047F03" w:rsidRPr="00047F03" w:rsidRDefault="00047F03" w:rsidP="00047F03">
      <w:pPr>
        <w:rPr>
          <w:rFonts w:ascii="Arial" w:eastAsia="Times New Roman" w:hAnsi="Arial" w:cs="Arial"/>
          <w:color w:val="000000"/>
          <w:sz w:val="16"/>
          <w:szCs w:val="16"/>
        </w:rPr>
      </w:pPr>
    </w:p>
    <w:p w:rsidR="00047F03" w:rsidRDefault="00047F03" w:rsidP="00047F03">
      <w:pPr>
        <w:rPr>
          <w:rFonts w:ascii="Arial" w:eastAsia="Times New Roman" w:hAnsi="Arial" w:cs="Arial"/>
          <w:color w:val="000000"/>
        </w:rPr>
      </w:pPr>
      <w:r>
        <w:rPr>
          <w:rFonts w:ascii="Arial" w:eastAsia="Times New Roman" w:hAnsi="Arial" w:cs="Arial"/>
          <w:color w:val="000000"/>
        </w:rPr>
        <w:t>A regular search will be done to ensure all patients’ prescriptions follow this procedure.</w:t>
      </w:r>
    </w:p>
    <w:p w:rsidR="00047F03" w:rsidRDefault="00047F03" w:rsidP="00047F03">
      <w:pPr>
        <w:rPr>
          <w:rFonts w:ascii="Arial" w:eastAsia="Times New Roman" w:hAnsi="Arial" w:cs="Arial"/>
          <w:color w:val="000000"/>
        </w:rPr>
      </w:pPr>
    </w:p>
    <w:p w:rsidR="00047F03" w:rsidRDefault="00047F03" w:rsidP="00047F03">
      <w:pPr>
        <w:rPr>
          <w:rFonts w:ascii="Arial" w:eastAsia="Times New Roman" w:hAnsi="Arial" w:cs="Arial"/>
          <w:b/>
          <w:bCs/>
          <w:color w:val="000000"/>
        </w:rPr>
      </w:pPr>
      <w:r>
        <w:rPr>
          <w:rFonts w:ascii="Arial" w:eastAsia="Times New Roman" w:hAnsi="Arial" w:cs="Arial"/>
          <w:b/>
          <w:bCs/>
          <w:color w:val="000000"/>
        </w:rPr>
        <w:t>Review date:</w:t>
      </w:r>
    </w:p>
    <w:p w:rsidR="00047F03" w:rsidRPr="00047F03" w:rsidRDefault="00047F03" w:rsidP="00047F03">
      <w:pPr>
        <w:rPr>
          <w:rFonts w:ascii="Arial" w:eastAsia="Times New Roman" w:hAnsi="Arial" w:cs="Arial"/>
          <w:b/>
          <w:bCs/>
          <w:color w:val="000000"/>
          <w:sz w:val="16"/>
          <w:szCs w:val="16"/>
        </w:rPr>
      </w:pPr>
    </w:p>
    <w:p w:rsidR="00B7075A" w:rsidRDefault="00047F03" w:rsidP="00047F03">
      <w:pPr>
        <w:rPr>
          <w:rFonts w:ascii="Arial" w:hAnsi="Arial" w:cs="Arial"/>
        </w:rPr>
      </w:pPr>
      <w:r>
        <w:rPr>
          <w:rFonts w:ascii="Arial" w:hAnsi="Arial" w:cs="Arial"/>
        </w:rPr>
        <w:t>January 2027</w:t>
      </w:r>
    </w:p>
    <w:p w:rsidR="00B7075A" w:rsidRDefault="00B7075A">
      <w:pPr>
        <w:spacing w:after="160" w:line="259" w:lineRule="auto"/>
        <w:rPr>
          <w:rFonts w:ascii="Arial" w:hAnsi="Arial" w:cs="Arial"/>
        </w:rPr>
      </w:pPr>
      <w:r>
        <w:rPr>
          <w:rFonts w:ascii="Arial" w:hAnsi="Arial" w:cs="Arial"/>
        </w:rPr>
        <w:br w:type="page"/>
      </w:r>
    </w:p>
    <w:p w:rsidR="00047F03" w:rsidRDefault="00047F03" w:rsidP="00047F03">
      <w:pPr>
        <w:rPr>
          <w:rFonts w:ascii="Arial" w:hAnsi="Arial" w:cs="Arial"/>
        </w:rPr>
      </w:pPr>
    </w:p>
    <w:p w:rsidR="00B7075A" w:rsidRPr="00601BBB" w:rsidRDefault="00B7075A" w:rsidP="00B7075A">
      <w:pPr>
        <w:spacing w:after="160" w:line="259" w:lineRule="auto"/>
        <w:rPr>
          <w:rFonts w:ascii="Arial" w:eastAsia="Times New Roman" w:hAnsi="Arial" w:cs="Arial"/>
          <w:b/>
          <w:bCs/>
          <w:color w:val="000000"/>
          <w:sz w:val="28"/>
          <w:szCs w:val="28"/>
        </w:rPr>
      </w:pPr>
      <w:r w:rsidRPr="00601BBB">
        <w:rPr>
          <w:rFonts w:ascii="Arial" w:eastAsia="Times New Roman" w:hAnsi="Arial" w:cs="Arial"/>
          <w:b/>
          <w:bCs/>
          <w:color w:val="000000"/>
          <w:sz w:val="28"/>
          <w:szCs w:val="28"/>
        </w:rPr>
        <w:t>Appendix 1</w:t>
      </w:r>
    </w:p>
    <w:p w:rsidR="00B7075A" w:rsidRPr="00601BBB" w:rsidRDefault="00B7075A" w:rsidP="00B7075A">
      <w:pPr>
        <w:spacing w:after="160" w:line="259" w:lineRule="auto"/>
        <w:rPr>
          <w:rFonts w:ascii="Arial" w:eastAsia="Times New Roman" w:hAnsi="Arial" w:cs="Arial"/>
          <w:b/>
          <w:bCs/>
          <w:color w:val="000000"/>
        </w:rPr>
      </w:pPr>
    </w:p>
    <w:p w:rsidR="00B7075A" w:rsidRDefault="00B7075A" w:rsidP="00B7075A">
      <w:pPr>
        <w:spacing w:after="160" w:line="259" w:lineRule="auto"/>
        <w:rPr>
          <w:rFonts w:ascii="Arial" w:eastAsia="Times New Roman" w:hAnsi="Arial" w:cs="Arial"/>
          <w:b/>
          <w:bCs/>
          <w:color w:val="000000"/>
        </w:rPr>
      </w:pPr>
      <w:r w:rsidRPr="00601BBB">
        <w:rPr>
          <w:rFonts w:ascii="Arial" w:eastAsia="Times New Roman" w:hAnsi="Arial" w:cs="Arial"/>
          <w:b/>
          <w:bCs/>
          <w:color w:val="000000"/>
        </w:rPr>
        <w:t>Guidance</w:t>
      </w:r>
      <w:bookmarkStart w:id="0" w:name="_GoBack"/>
      <w:bookmarkEnd w:id="0"/>
    </w:p>
    <w:p w:rsidR="00B7075A" w:rsidRDefault="00B7075A" w:rsidP="00B7075A">
      <w:pPr>
        <w:spacing w:after="160" w:line="259" w:lineRule="auto"/>
        <w:rPr>
          <w:rFonts w:ascii="Arial" w:eastAsia="Times New Roman" w:hAnsi="Arial" w:cs="Arial"/>
          <w:b/>
          <w:bCs/>
          <w:color w:val="000000"/>
        </w:rPr>
      </w:pPr>
    </w:p>
    <w:p w:rsidR="00B7075A" w:rsidRPr="00601BBB" w:rsidRDefault="00B7075A" w:rsidP="00B7075A">
      <w:pPr>
        <w:rPr>
          <w:rFonts w:ascii="Arial" w:eastAsia="Times New Roman" w:hAnsi="Arial" w:cs="Arial"/>
          <w:color w:val="000000"/>
        </w:rPr>
      </w:pPr>
      <w:r>
        <w:rPr>
          <w:rFonts w:ascii="Arial" w:eastAsia="Times New Roman" w:hAnsi="Arial" w:cs="Arial"/>
          <w:color w:val="000000"/>
        </w:rPr>
        <w:t>L</w:t>
      </w:r>
      <w:r w:rsidRPr="00601BBB">
        <w:rPr>
          <w:rFonts w:ascii="Arial" w:eastAsia="Times New Roman" w:hAnsi="Arial" w:cs="Arial"/>
          <w:color w:val="000000"/>
        </w:rPr>
        <w:t>ocal NENC formulary, for anxiety medication pathway for adults</w:t>
      </w:r>
      <w:r>
        <w:rPr>
          <w:rFonts w:ascii="Arial" w:eastAsia="Times New Roman" w:hAnsi="Arial" w:cs="Arial"/>
          <w:color w:val="000000"/>
        </w:rPr>
        <w:t>:</w:t>
      </w:r>
    </w:p>
    <w:p w:rsidR="00B7075A" w:rsidRDefault="00B7075A" w:rsidP="00B7075A">
      <w:pPr>
        <w:rPr>
          <w:rFonts w:ascii="Arial" w:eastAsia="Times New Roman" w:hAnsi="Arial" w:cs="Arial"/>
          <w:color w:val="0563C1"/>
          <w:u w:val="single"/>
        </w:rPr>
      </w:pPr>
      <w:hyperlink r:id="rId7" w:history="1">
        <w:r w:rsidRPr="00601BBB">
          <w:rPr>
            <w:rStyle w:val="Hyperlink"/>
            <w:rFonts w:ascii="Arial" w:eastAsia="Times New Roman" w:hAnsi="Arial" w:cs="Arial"/>
            <w:color w:val="0563C1"/>
          </w:rPr>
          <w:t>Anxiety-Medication-Pathway-for-Adults.docx</w:t>
        </w:r>
      </w:hyperlink>
    </w:p>
    <w:p w:rsidR="00B7075A" w:rsidRDefault="00B7075A" w:rsidP="00B7075A">
      <w:pPr>
        <w:rPr>
          <w:rFonts w:ascii="Arial" w:eastAsia="Times New Roman" w:hAnsi="Arial" w:cs="Arial"/>
          <w:color w:val="0563C1"/>
          <w:u w:val="single"/>
        </w:rPr>
      </w:pPr>
    </w:p>
    <w:p w:rsidR="00B7075A" w:rsidRDefault="00B7075A" w:rsidP="00B7075A">
      <w:pPr>
        <w:rPr>
          <w:rFonts w:ascii="Arial" w:eastAsia="Times New Roman" w:hAnsi="Arial" w:cs="Arial"/>
          <w:color w:val="0563C1"/>
          <w:u w:val="single"/>
        </w:rPr>
      </w:pPr>
    </w:p>
    <w:p w:rsidR="00B7075A" w:rsidRPr="00601BBB" w:rsidRDefault="00B7075A" w:rsidP="00B7075A">
      <w:pPr>
        <w:rPr>
          <w:rFonts w:ascii="Arial" w:eastAsia="Times New Roman" w:hAnsi="Arial" w:cs="Arial"/>
          <w:color w:val="000000"/>
        </w:rPr>
      </w:pPr>
      <w:r>
        <w:rPr>
          <w:rFonts w:ascii="Arial" w:eastAsia="Times New Roman" w:hAnsi="Arial" w:cs="Arial"/>
          <w:color w:val="000000"/>
        </w:rPr>
        <w:t>H</w:t>
      </w:r>
      <w:r w:rsidRPr="00601BBB">
        <w:rPr>
          <w:rFonts w:ascii="Arial" w:eastAsia="Times New Roman" w:hAnsi="Arial" w:cs="Arial"/>
          <w:color w:val="000000"/>
        </w:rPr>
        <w:t>ypnotics</w:t>
      </w:r>
      <w:r>
        <w:rPr>
          <w:rFonts w:ascii="Arial" w:eastAsia="Times New Roman" w:hAnsi="Arial" w:cs="Arial"/>
          <w:color w:val="000000"/>
        </w:rPr>
        <w:t xml:space="preserve"> –</w:t>
      </w:r>
      <w:r w:rsidRPr="00601BBB">
        <w:rPr>
          <w:rFonts w:ascii="Arial" w:eastAsia="Times New Roman" w:hAnsi="Arial" w:cs="Arial"/>
          <w:color w:val="000000"/>
        </w:rPr>
        <w:t xml:space="preserve"> NICE guidance:</w:t>
      </w:r>
    </w:p>
    <w:p w:rsidR="00B7075A" w:rsidRPr="00601BBB" w:rsidRDefault="00B7075A" w:rsidP="00B7075A">
      <w:pPr>
        <w:pStyle w:val="ListParagraph"/>
        <w:numPr>
          <w:ilvl w:val="0"/>
          <w:numId w:val="20"/>
        </w:numPr>
        <w:rPr>
          <w:rFonts w:ascii="Arial" w:eastAsia="Times New Roman" w:hAnsi="Arial" w:cs="Arial"/>
          <w:color w:val="000000"/>
        </w:rPr>
      </w:pPr>
      <w:r w:rsidRPr="00601BBB">
        <w:rPr>
          <w:rFonts w:ascii="Arial" w:eastAsia="Times New Roman" w:hAnsi="Arial" w:cs="Arial"/>
          <w:color w:val="000000"/>
        </w:rPr>
        <w:t xml:space="preserve">NICE Z-drugs: </w:t>
      </w:r>
      <w:hyperlink r:id="rId8" w:history="1">
        <w:r w:rsidRPr="00601BBB">
          <w:rPr>
            <w:rStyle w:val="Hyperlink"/>
            <w:rFonts w:ascii="Arial" w:eastAsia="Times New Roman" w:hAnsi="Arial" w:cs="Arial"/>
          </w:rPr>
          <w:t>Z-drugs | Prescribing information | Insomnia | CKS | NICE</w:t>
        </w:r>
      </w:hyperlink>
    </w:p>
    <w:p w:rsidR="00B7075A" w:rsidRPr="00601BBB" w:rsidRDefault="00B7075A" w:rsidP="00B7075A">
      <w:pPr>
        <w:pStyle w:val="ListParagraph"/>
        <w:numPr>
          <w:ilvl w:val="0"/>
          <w:numId w:val="20"/>
        </w:numPr>
        <w:rPr>
          <w:rFonts w:ascii="Arial" w:eastAsia="Times New Roman" w:hAnsi="Arial" w:cs="Arial"/>
          <w:color w:val="000000"/>
        </w:rPr>
      </w:pPr>
      <w:r w:rsidRPr="00601BBB">
        <w:rPr>
          <w:rFonts w:ascii="Arial" w:eastAsia="Times New Roman" w:hAnsi="Arial" w:cs="Arial"/>
          <w:color w:val="000000"/>
        </w:rPr>
        <w:t xml:space="preserve">NICE hypnotics and Anxiolytics: </w:t>
      </w:r>
      <w:hyperlink r:id="rId9" w:history="1">
        <w:r w:rsidRPr="00601BBB">
          <w:rPr>
            <w:rStyle w:val="Hyperlink"/>
            <w:rFonts w:ascii="Arial" w:eastAsia="Times New Roman" w:hAnsi="Arial" w:cs="Arial"/>
          </w:rPr>
          <w:t>Hypnotics and anxiolytics | Treatment summaries | BNF | NICE</w:t>
        </w:r>
      </w:hyperlink>
    </w:p>
    <w:p w:rsidR="00B7075A" w:rsidRDefault="00B7075A" w:rsidP="00B7075A">
      <w:pPr>
        <w:rPr>
          <w:rFonts w:ascii="Arial" w:eastAsia="Times New Roman" w:hAnsi="Arial" w:cs="Arial"/>
          <w:color w:val="000000"/>
        </w:rPr>
      </w:pPr>
    </w:p>
    <w:p w:rsidR="00B7075A" w:rsidRPr="00601BBB" w:rsidRDefault="00B7075A" w:rsidP="00B7075A">
      <w:pPr>
        <w:rPr>
          <w:rFonts w:ascii="Arial" w:eastAsia="Times New Roman" w:hAnsi="Arial" w:cs="Arial"/>
          <w:color w:val="000000"/>
        </w:rPr>
      </w:pPr>
    </w:p>
    <w:p w:rsidR="00B7075A" w:rsidRPr="00601BBB" w:rsidRDefault="00B7075A" w:rsidP="00B7075A">
      <w:pPr>
        <w:spacing w:after="160" w:line="259" w:lineRule="auto"/>
        <w:rPr>
          <w:rFonts w:ascii="Arial" w:eastAsia="Times New Roman" w:hAnsi="Arial" w:cs="Arial"/>
          <w:b/>
          <w:bCs/>
          <w:color w:val="000000"/>
        </w:rPr>
      </w:pPr>
    </w:p>
    <w:p w:rsidR="00B7075A" w:rsidRDefault="00B7075A" w:rsidP="00047F03">
      <w:pPr>
        <w:rPr>
          <w:rFonts w:ascii="Arial" w:hAnsi="Arial" w:cs="Arial"/>
        </w:rPr>
      </w:pPr>
    </w:p>
    <w:p w:rsidR="00733E83" w:rsidRDefault="00733E83" w:rsidP="00047F03">
      <w:pPr>
        <w:rPr>
          <w:rFonts w:ascii="Arial" w:eastAsia="Times New Roman" w:hAnsi="Arial" w:cs="Arial"/>
          <w:b/>
          <w:bCs/>
          <w:color w:val="000000"/>
        </w:rPr>
      </w:pPr>
    </w:p>
    <w:sectPr w:rsidR="00733E83" w:rsidSect="00047F03">
      <w:headerReference w:type="default" r:id="rId10"/>
      <w:footerReference w:type="default" r:id="rId11"/>
      <w:pgSz w:w="11906" w:h="16838"/>
      <w:pgMar w:top="1440"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E83" w:rsidRDefault="00733E83" w:rsidP="00733E83">
      <w:r>
        <w:separator/>
      </w:r>
    </w:p>
  </w:endnote>
  <w:endnote w:type="continuationSeparator" w:id="0">
    <w:p w:rsidR="00733E83" w:rsidRDefault="00733E83" w:rsidP="0073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83" w:rsidRPr="00047F03" w:rsidRDefault="00047F03" w:rsidP="00047F03">
    <w:pPr>
      <w:rPr>
        <w:sz w:val="22"/>
        <w:szCs w:val="22"/>
      </w:rPr>
    </w:pPr>
    <w:r w:rsidRPr="00047F03">
      <w:rPr>
        <w:rFonts w:eastAsia="Times New Roman"/>
        <w:bCs/>
        <w:color w:val="000000"/>
        <w:sz w:val="22"/>
        <w:szCs w:val="22"/>
      </w:rPr>
      <w:t xml:space="preserve">Policy for prescribing of Benzodiazepines and “Z” drugs </w:t>
    </w:r>
    <w:r w:rsidRPr="00047F03">
      <w:rPr>
        <w:rFonts w:eastAsia="Times New Roman"/>
        <w:bCs/>
        <w:color w:val="000000"/>
        <w:sz w:val="22"/>
        <w:szCs w:val="22"/>
      </w:rPr>
      <w:tab/>
    </w:r>
    <w:r w:rsidRPr="00047F03">
      <w:rPr>
        <w:rFonts w:eastAsia="Times New Roman"/>
        <w:bCs/>
        <w:color w:val="000000"/>
        <w:sz w:val="22"/>
        <w:szCs w:val="22"/>
      </w:rPr>
      <w:tab/>
    </w:r>
    <w:r w:rsidRPr="00047F03">
      <w:rPr>
        <w:rFonts w:eastAsia="Times New Roman"/>
        <w:bCs/>
        <w:color w:val="000000"/>
        <w:sz w:val="22"/>
        <w:szCs w:val="22"/>
      </w:rPr>
      <w:tab/>
    </w:r>
    <w:r w:rsidR="00733E83" w:rsidRPr="00047F03">
      <w:rPr>
        <w:sz w:val="22"/>
        <w:szCs w:val="22"/>
      </w:rPr>
      <w:t>v2 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E83" w:rsidRDefault="00733E83" w:rsidP="00733E83">
      <w:r>
        <w:separator/>
      </w:r>
    </w:p>
  </w:footnote>
  <w:footnote w:type="continuationSeparator" w:id="0">
    <w:p w:rsidR="00733E83" w:rsidRDefault="00733E83" w:rsidP="0073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83" w:rsidRPr="00047F03" w:rsidRDefault="00733E83" w:rsidP="00733E83">
    <w:pPr>
      <w:pStyle w:val="Header"/>
      <w:jc w:val="right"/>
      <w:rPr>
        <w:rFonts w:ascii="Calibri" w:hAnsi="Calibri" w:cs="Calibri"/>
        <w:b/>
        <w:sz w:val="36"/>
        <w:szCs w:val="36"/>
      </w:rPr>
    </w:pPr>
    <w:r w:rsidRPr="00047F03">
      <w:rPr>
        <w:rFonts w:ascii="Calibri" w:hAnsi="Calibri" w:cs="Calibri"/>
        <w:b/>
        <w:sz w:val="36"/>
        <w:szCs w:val="36"/>
      </w:rPr>
      <w:t>Longtown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646"/>
    <w:multiLevelType w:val="hybridMultilevel"/>
    <w:tmpl w:val="1D8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7AB2"/>
    <w:multiLevelType w:val="hybridMultilevel"/>
    <w:tmpl w:val="D7CC4956"/>
    <w:lvl w:ilvl="0" w:tplc="6608B408">
      <w:numFmt w:val="bullet"/>
      <w:lvlText w:val="•"/>
      <w:lvlJc w:val="left"/>
      <w:pPr>
        <w:ind w:left="720" w:hanging="360"/>
      </w:pPr>
      <w:rPr>
        <w:rFonts w:ascii="Arial" w:eastAsia="Times New Roman" w:hAnsi="Arial" w:cs="Arial" w:hint="default"/>
      </w:rPr>
    </w:lvl>
    <w:lvl w:ilvl="1" w:tplc="E140124A">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D1CAE"/>
    <w:multiLevelType w:val="hybridMultilevel"/>
    <w:tmpl w:val="7CCAB562"/>
    <w:lvl w:ilvl="0" w:tplc="DD0494F0">
      <w:numFmt w:val="bullet"/>
      <w:lvlText w:val="•"/>
      <w:lvlJc w:val="left"/>
      <w:pPr>
        <w:ind w:left="720" w:hanging="360"/>
      </w:pPr>
      <w:rPr>
        <w:rFonts w:ascii="Arial" w:eastAsia="Times New Roman" w:hAnsi="Arial" w:cs="Arial" w:hint="default"/>
      </w:rPr>
    </w:lvl>
    <w:lvl w:ilvl="1" w:tplc="20F24B26">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31BE6"/>
    <w:multiLevelType w:val="hybridMultilevel"/>
    <w:tmpl w:val="1090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92069"/>
    <w:multiLevelType w:val="multilevel"/>
    <w:tmpl w:val="2DE0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FFE"/>
    <w:multiLevelType w:val="hybridMultilevel"/>
    <w:tmpl w:val="CBF86264"/>
    <w:lvl w:ilvl="0" w:tplc="132E1ED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251C7"/>
    <w:multiLevelType w:val="hybridMultilevel"/>
    <w:tmpl w:val="C212B7CE"/>
    <w:lvl w:ilvl="0" w:tplc="B1C45C3C">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20603C"/>
    <w:multiLevelType w:val="hybridMultilevel"/>
    <w:tmpl w:val="666A87E6"/>
    <w:lvl w:ilvl="0" w:tplc="DD0494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0076C"/>
    <w:multiLevelType w:val="hybridMultilevel"/>
    <w:tmpl w:val="9E06EC5C"/>
    <w:lvl w:ilvl="0" w:tplc="132E1ED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D617519"/>
    <w:multiLevelType w:val="hybridMultilevel"/>
    <w:tmpl w:val="18361278"/>
    <w:lvl w:ilvl="0" w:tplc="132E1EDE">
      <w:numFmt w:val="bullet"/>
      <w:lvlText w:val="-"/>
      <w:lvlJc w:val="left"/>
      <w:pPr>
        <w:ind w:left="720" w:hanging="360"/>
      </w:pPr>
      <w:rPr>
        <w:rFonts w:ascii="Arial" w:eastAsia="Times New Roman" w:hAnsi="Arial" w:cs="Arial" w:hint="default"/>
      </w:rPr>
    </w:lvl>
    <w:lvl w:ilvl="1" w:tplc="132E1E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F0B0A"/>
    <w:multiLevelType w:val="hybridMultilevel"/>
    <w:tmpl w:val="85707F2A"/>
    <w:lvl w:ilvl="0" w:tplc="132E1EDE">
      <w:numFmt w:val="bullet"/>
      <w:lvlText w:val="-"/>
      <w:lvlJc w:val="left"/>
      <w:pPr>
        <w:ind w:left="720" w:hanging="360"/>
      </w:pPr>
      <w:rPr>
        <w:rFonts w:ascii="Arial" w:eastAsia="Times New Roman" w:hAnsi="Arial" w:cs="Arial" w:hint="default"/>
      </w:rPr>
    </w:lvl>
    <w:lvl w:ilvl="1" w:tplc="132E1E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33991"/>
    <w:multiLevelType w:val="hybridMultilevel"/>
    <w:tmpl w:val="45123682"/>
    <w:lvl w:ilvl="0" w:tplc="DD0494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C2814"/>
    <w:multiLevelType w:val="hybridMultilevel"/>
    <w:tmpl w:val="76B0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64B7F"/>
    <w:multiLevelType w:val="hybridMultilevel"/>
    <w:tmpl w:val="2BBAF58E"/>
    <w:lvl w:ilvl="0" w:tplc="DD0494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D5687"/>
    <w:multiLevelType w:val="hybridMultilevel"/>
    <w:tmpl w:val="7FD0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154FA"/>
    <w:multiLevelType w:val="hybridMultilevel"/>
    <w:tmpl w:val="90C45490"/>
    <w:lvl w:ilvl="0" w:tplc="6608B4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5546D"/>
    <w:multiLevelType w:val="hybridMultilevel"/>
    <w:tmpl w:val="33F0DC90"/>
    <w:lvl w:ilvl="0" w:tplc="DD0494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D454E"/>
    <w:multiLevelType w:val="hybridMultilevel"/>
    <w:tmpl w:val="12A6E2E0"/>
    <w:lvl w:ilvl="0" w:tplc="DD0494F0">
      <w:numFmt w:val="bullet"/>
      <w:lvlText w:val="•"/>
      <w:lvlJc w:val="left"/>
      <w:pPr>
        <w:ind w:left="720" w:hanging="360"/>
      </w:pPr>
      <w:rPr>
        <w:rFonts w:ascii="Arial" w:eastAsia="Times New Roman" w:hAnsi="Arial" w:cs="Arial" w:hint="default"/>
      </w:rPr>
    </w:lvl>
    <w:lvl w:ilvl="1" w:tplc="132E1E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CA5FBD"/>
    <w:multiLevelType w:val="hybridMultilevel"/>
    <w:tmpl w:val="550040E4"/>
    <w:lvl w:ilvl="0" w:tplc="DD0494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95B50"/>
    <w:multiLevelType w:val="hybridMultilevel"/>
    <w:tmpl w:val="B82045DA"/>
    <w:lvl w:ilvl="0" w:tplc="132E1ED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5"/>
  </w:num>
  <w:num w:numId="5">
    <w:abstractNumId w:val="6"/>
  </w:num>
  <w:num w:numId="6">
    <w:abstractNumId w:val="14"/>
  </w:num>
  <w:num w:numId="7">
    <w:abstractNumId w:val="2"/>
  </w:num>
  <w:num w:numId="8">
    <w:abstractNumId w:val="8"/>
  </w:num>
  <w:num w:numId="9">
    <w:abstractNumId w:val="17"/>
  </w:num>
  <w:num w:numId="10">
    <w:abstractNumId w:val="12"/>
  </w:num>
  <w:num w:numId="11">
    <w:abstractNumId w:val="18"/>
  </w:num>
  <w:num w:numId="12">
    <w:abstractNumId w:val="19"/>
  </w:num>
  <w:num w:numId="13">
    <w:abstractNumId w:val="10"/>
  </w:num>
  <w:num w:numId="14">
    <w:abstractNumId w:val="13"/>
  </w:num>
  <w:num w:numId="15">
    <w:abstractNumId w:val="16"/>
  </w:num>
  <w:num w:numId="16">
    <w:abstractNumId w:val="5"/>
  </w:num>
  <w:num w:numId="17">
    <w:abstractNumId w:val="9"/>
  </w:num>
  <w:num w:numId="18">
    <w:abstractNumId w:val="7"/>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83"/>
    <w:rsid w:val="00047F03"/>
    <w:rsid w:val="00383802"/>
    <w:rsid w:val="007002DB"/>
    <w:rsid w:val="00733E83"/>
    <w:rsid w:val="00B70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083C"/>
  <w15:chartTrackingRefBased/>
  <w15:docId w15:val="{C415C7D7-AF79-4E75-8B75-CE45420C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8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E83"/>
    <w:pPr>
      <w:tabs>
        <w:tab w:val="center" w:pos="4513"/>
        <w:tab w:val="right" w:pos="9026"/>
      </w:tabs>
    </w:pPr>
  </w:style>
  <w:style w:type="character" w:customStyle="1" w:styleId="HeaderChar">
    <w:name w:val="Header Char"/>
    <w:basedOn w:val="DefaultParagraphFont"/>
    <w:link w:val="Header"/>
    <w:uiPriority w:val="99"/>
    <w:rsid w:val="00733E83"/>
    <w:rPr>
      <w:rFonts w:ascii="Times New Roman" w:hAnsi="Times New Roman" w:cs="Times New Roman"/>
      <w:sz w:val="24"/>
      <w:szCs w:val="24"/>
      <w:lang w:eastAsia="en-GB"/>
    </w:rPr>
  </w:style>
  <w:style w:type="paragraph" w:styleId="Footer">
    <w:name w:val="footer"/>
    <w:basedOn w:val="Normal"/>
    <w:link w:val="FooterChar"/>
    <w:uiPriority w:val="99"/>
    <w:unhideWhenUsed/>
    <w:rsid w:val="00733E83"/>
    <w:pPr>
      <w:tabs>
        <w:tab w:val="center" w:pos="4513"/>
        <w:tab w:val="right" w:pos="9026"/>
      </w:tabs>
    </w:pPr>
  </w:style>
  <w:style w:type="character" w:customStyle="1" w:styleId="FooterChar">
    <w:name w:val="Footer Char"/>
    <w:basedOn w:val="DefaultParagraphFont"/>
    <w:link w:val="Footer"/>
    <w:uiPriority w:val="99"/>
    <w:rsid w:val="00733E83"/>
    <w:rPr>
      <w:rFonts w:ascii="Times New Roman" w:hAnsi="Times New Roman" w:cs="Times New Roman"/>
      <w:sz w:val="24"/>
      <w:szCs w:val="24"/>
      <w:lang w:eastAsia="en-GB"/>
    </w:rPr>
  </w:style>
  <w:style w:type="paragraph" w:styleId="ListParagraph">
    <w:name w:val="List Paragraph"/>
    <w:basedOn w:val="Normal"/>
    <w:uiPriority w:val="34"/>
    <w:qFormat/>
    <w:rsid w:val="00733E83"/>
    <w:pPr>
      <w:ind w:left="720"/>
      <w:contextualSpacing/>
    </w:pPr>
  </w:style>
  <w:style w:type="character" w:styleId="Hyperlink">
    <w:name w:val="Hyperlink"/>
    <w:basedOn w:val="DefaultParagraphFont"/>
    <w:uiPriority w:val="99"/>
    <w:semiHidden/>
    <w:unhideWhenUsed/>
    <w:rsid w:val="00B70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18082">
      <w:bodyDiv w:val="1"/>
      <w:marLeft w:val="0"/>
      <w:marRight w:val="0"/>
      <w:marTop w:val="0"/>
      <w:marBottom w:val="0"/>
      <w:divBdr>
        <w:top w:val="none" w:sz="0" w:space="0" w:color="auto"/>
        <w:left w:val="none" w:sz="0" w:space="0" w:color="auto"/>
        <w:bottom w:val="none" w:sz="0" w:space="0" w:color="auto"/>
        <w:right w:val="none" w:sz="0" w:space="0" w:color="auto"/>
      </w:divBdr>
    </w:div>
    <w:div w:id="10348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ks.nice.org.uk%2Ftopics%2Finsomnia%2Fprescribing-information%2Fz-drugs%2F&amp;data=05%7C02%7Csuzanne.hall14%40nhs.net%7Ccb4a170654264a845c3108dd31835e99%7C37c354b285b047f5b22207b48d774ee3%7C0%7C0%7C638721162463083138%7CUnknown%7CTWFpbGZsb3d8eyJFbXB0eU1hcGkiOnRydWUsIlYiOiIwLjAuMDAwMCIsIlAiOiJXaW4zMiIsIkFOIjoiTWFpbCIsIldUIjoyfQ%3D%3D%7C0%7C%7C%7C&amp;sdata=pBwn0rH3Z3mqKSSclp4oT1DSGjERoQsTck61zb1vnsU%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view.officeapps.live.com%2Fop%2Fview.aspx%3Fsrc%3Dhttps%253A%252F%252Fwww.tewv.nhs.uk%252Fwp-content%252Fuploads%252F2021%252F11%252FAnxiety-Medication-Pathway-for-Adults.docx%26wdOrigin%3DBROWSELINK&amp;data=05%7C02%7Csuzanne.hall14%40nhs.net%7Ccb4a170654264a845c3108dd31835e99%7C37c354b285b047f5b22207b48d774ee3%7C0%7C0%7C638721162463058159%7CUnknown%7CTWFpbGZsb3d8eyJFbXB0eU1hcGkiOnRydWUsIlYiOiIwLjAuMDAwMCIsIlAiOiJXaW4zMiIsIkFOIjoiTWFpbCIsIldUIjoyfQ%3D%3D%7C0%7C%7C%7C&amp;sdata=%2FeYckCl7ZFnYap62DSVTGGb5ZXIDZ6AffpSmfKr3qQ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br01.safelinks.protection.outlook.com/?url=https%3A%2F%2Fbnf.nice.org.uk%2Ftreatment-summaries%2Fhypnotics-and-anxiolytics%2F&amp;data=05%7C02%7Csuzanne.hall14%40nhs.net%7Ccb4a170654264a845c3108dd31835e99%7C37c354b285b047f5b22207b48d774ee3%7C0%7C0%7C638721162463097024%7CUnknown%7CTWFpbGZsb3d8eyJFbXB0eU1hcGkiOnRydWUsIlYiOiIwLjAuMDAwMCIsIlAiOiJXaW4zMiIsIkFOIjoiTWFpbCIsIldUIjoyfQ%3D%3D%7C0%7C%7C%7C&amp;sdata=NvYoj8d%2FzyqNfYHUOId4L79x7HQyfCtRRUkEekj4RO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Suzanne (A82646) Longtown Medical Practice</dc:creator>
  <cp:keywords/>
  <dc:description/>
  <cp:lastModifiedBy>Hall Suzanne (A82646) Longtown Medical Practice</cp:lastModifiedBy>
  <cp:revision>3</cp:revision>
  <dcterms:created xsi:type="dcterms:W3CDTF">2025-01-02T15:46:00Z</dcterms:created>
  <dcterms:modified xsi:type="dcterms:W3CDTF">2025-03-27T16:41:00Z</dcterms:modified>
</cp:coreProperties>
</file>